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jc w:val="center"/>
      </w:pPr>
      <w:r>
        <w:rPr>
          <w:rFonts w:ascii="Arial" w:cs="Arial" w:eastAsia="Arial" w:hAnsi="Arial"/>
          <w:b/>
          <w:bCs/>
          <w:color w:val="B8960C"/>
          <w:spacing w:val="120"/>
          <w:sz w:val="18"/>
          <w:szCs w:val="18"/>
        </w:rPr>
        <w:t xml:space="preserve">C.H.A.R.M. COMMUNICATIONS, LLC</w:t>
      </w:r>
    </w:p>
    <w:p>
      <w:pPr>
        <w:spacing w:after="60" w:before="0"/>
        <w:jc w:val="center"/>
      </w:pPr>
      <w:r>
        <w:rPr>
          <w:rFonts w:ascii="Arial" w:cs="Arial" w:eastAsia="Arial" w:hAnsi="Arial"/>
          <w:i/>
          <w:iCs/>
          <w:color w:val="1B3A5C"/>
          <w:sz w:val="22"/>
          <w:szCs w:val="22"/>
        </w:rPr>
        <w:t xml:space="preserve">From the Introduction to the Interview™</w:t>
      </w:r>
    </w:p>
    <w:p>
      <w:pPr>
        <w:pBdr>
          <w:bottom w:val="single" w:color="D4B483" w:sz="6" w:space="1"/>
        </w:pBdr>
        <w:spacing w:after="160" w:before="160"/>
      </w:pPr>
    </w:p>
    <w:p>
      <w:pPr>
        <w:spacing w:after="80" w:before="0"/>
      </w:pPr>
    </w:p>
    <w:p>
      <w:pPr>
        <w:spacing w:after="60" w:before="400"/>
      </w:pPr>
      <w:r>
        <w:rPr>
          <w:rFonts w:ascii="Arial" w:cs="Arial" w:eastAsia="Arial" w:hAnsi="Arial"/>
          <w:b/>
          <w:bCs/>
          <w:color w:val="B8960C"/>
          <w:spacing w:val="200"/>
          <w:sz w:val="18"/>
          <w:szCs w:val="18"/>
        </w:rPr>
        <w:t xml:space="preserve">MODULE 01</w:t>
      </w:r>
    </w:p>
    <w:p>
      <w:pPr>
        <w:spacing w:after="80" w:before="0"/>
      </w:pPr>
      <w:r>
        <w:rPr>
          <w:rFonts w:ascii="Arial" w:cs="Arial" w:eastAsia="Arial" w:hAnsi="Arial"/>
          <w:b/>
          <w:bCs/>
          <w:color w:val="1B3A5C"/>
          <w:sz w:val="32"/>
          <w:szCs w:val="32"/>
        </w:rPr>
        <w:t xml:space="preserve">Orientation &amp; Professional Baseline</w:t>
      </w:r>
    </w:p>
    <w:p>
      <w:pPr>
        <w:spacing w:after="40" w:before="0"/>
      </w:pPr>
      <w:r>
        <w:rPr>
          <w:rFonts w:ascii="Arial" w:cs="Arial" w:eastAsia="Arial" w:hAnsi="Arial"/>
          <w:i/>
          <w:iCs/>
          <w:color w:val="6B6B6B"/>
          <w:sz w:val="22"/>
          <w:szCs w:val="22"/>
        </w:rPr>
        <w:t xml:space="preserve">Tool Pack</w:t>
      </w:r>
    </w:p>
    <w:p>
      <w:pPr>
        <w:spacing w:after="80" w:before="0"/>
      </w:pPr>
    </w:p>
    <w:p>
      <w:pPr>
        <w:spacing w:after="140" w:before="0" w:line="300" w:lineRule="auto"/>
        <w:jc w:val="both"/>
      </w:pPr>
      <w:r>
        <w:rPr>
          <w:rFonts w:ascii="Arial" w:cs="Arial" w:eastAsia="Arial" w:hAnsi="Arial"/>
          <w:color w:val="1A1A1A"/>
          <w:sz w:val="22"/>
          <w:szCs w:val="22"/>
        </w:rPr>
        <w:t xml:space="preserve">This tool pack is designed to help participants establish a clear, practical foundation for professional growth by examining observable behaviors that influence credibility, trust, and advancement in executive, institutional, and international environments.</w:t>
      </w:r>
    </w:p>
    <w:p>
      <w:pPr>
        <w:spacing w:after="140" w:before="0" w:line="300" w:lineRule="auto"/>
        <w:jc w:val="both"/>
      </w:pPr>
      <w:r>
        <w:rPr>
          <w:rFonts w:ascii="Arial" w:cs="Arial" w:eastAsia="Arial" w:hAnsi="Arial"/>
          <w:b/>
          <w:bCs/>
          <w:color w:val="1A1A1A"/>
          <w:sz w:val="22"/>
          <w:szCs w:val="22"/>
        </w:rPr>
        <w:t xml:space="preserve">The tools in this module are </w:t>
      </w:r>
      <w:r>
        <w:rPr>
          <w:rFonts w:ascii="Arial" w:cs="Arial" w:eastAsia="Arial" w:hAnsi="Arial"/>
          <w:color w:val="1A1A1A"/>
          <w:sz w:val="22"/>
          <w:szCs w:val="22"/>
        </w:rPr>
        <w:t xml:space="preserve">diagnostic and developmental. They are not evaluative, punitive, or comparative. Their purpose is to support honest self-assessment, increase awareness of professional habits, and create alignment between professional goals and professional behavior.</w:t>
      </w:r>
    </w:p>
    <w:p>
      <w:pPr>
        <w:spacing w:after="140" w:before="0" w:line="300" w:lineRule="auto"/>
        <w:jc w:val="both"/>
      </w:pPr>
      <w:r>
        <w:rPr>
          <w:rFonts w:ascii="Arial" w:cs="Arial" w:eastAsia="Arial" w:hAnsi="Arial"/>
          <w:b/>
          <w:bCs/>
          <w:color w:val="1A1A1A"/>
          <w:sz w:val="22"/>
          <w:szCs w:val="22"/>
        </w:rPr>
        <w:t xml:space="preserve">At senior levels, professionalism is not measured by intention or effort. It is assessed through </w:t>
      </w:r>
      <w:r>
        <w:rPr>
          <w:rFonts w:ascii="Arial" w:cs="Arial" w:eastAsia="Arial" w:hAnsi="Arial"/>
          <w:color w:val="1A1A1A"/>
          <w:sz w:val="22"/>
          <w:szCs w:val="22"/>
        </w:rPr>
        <w:t xml:space="preserve">consistency of conduct over time. This tool pack is intended to help you identify where your current habits strengthen credibility - and where small, deliberate adjustments can reduce professional risk and improve impact.</w:t>
      </w:r>
    </w:p>
    <w:p>
      <w:pPr>
        <w:spacing w:after="80" w:before="0"/>
      </w:pPr>
    </w:p>
    <w:p>
      <w:pPr>
        <w:spacing w:after="80" w:before="200"/>
      </w:pPr>
      <w:r>
        <w:rPr>
          <w:rFonts w:ascii="Arial" w:cs="Arial" w:eastAsia="Arial" w:hAnsi="Arial"/>
          <w:b/>
          <w:bCs/>
          <w:color w:val="1B3A5C"/>
          <w:sz w:val="24"/>
          <w:szCs w:val="24"/>
        </w:rPr>
        <w:t xml:space="preserve">What This Tool Pack Includes</w:t>
      </w:r>
    </w:p>
    <w:p>
      <w:pPr>
        <w:spacing w:after="140" w:before="0" w:line="300" w:lineRule="auto"/>
        <w:jc w:val="both"/>
      </w:pPr>
      <w:r>
        <w:rPr>
          <w:rFonts w:ascii="Arial" w:cs="Arial" w:eastAsia="Arial" w:hAnsi="Arial"/>
          <w:color w:val="1A1A1A"/>
          <w:sz w:val="22"/>
          <w:szCs w:val="22"/>
        </w:rPr>
        <w:t xml:space="preserve">This module contains the following tools:</w:t>
      </w:r>
    </w:p>
    <w:p>
      <w:pPr>
        <w:pStyle w:val="ListParagraph"/>
        <w:numPr>
          <w:ilvl w:val="0"/>
          <w:numId w:val="2"/>
        </w:numPr>
        <w:spacing w:after="80" w:before="0"/>
      </w:pPr>
      <w:r>
        <w:rPr>
          <w:rFonts w:ascii="Arial" w:cs="Arial" w:eastAsia="Arial" w:hAnsi="Arial"/>
          <w:b/>
          <w:bCs/>
          <w:color w:val="1B3A5C"/>
          <w:sz w:val="22"/>
          <w:szCs w:val="22"/>
        </w:rPr>
        <w:t xml:space="preserve">Professional Standards Checklist - </w:t>
      </w:r>
      <w:r>
        <w:rPr>
          <w:rFonts w:ascii="Arial" w:cs="Arial" w:eastAsia="Arial" w:hAnsi="Arial"/>
          <w:color w:val="1A1A1A"/>
          <w:sz w:val="22"/>
          <w:szCs w:val="22"/>
        </w:rPr>
        <w:t xml:space="preserve">A structured review of five non-negotiable professional standards - Courtesy, Respect, Discretion, Sound Judgment, and Consistency - used as the behavioral baseline for the entire program.</w:t>
      </w:r>
    </w:p>
    <w:p>
      <w:pPr>
        <w:pStyle w:val="ListParagraph"/>
        <w:numPr>
          <w:ilvl w:val="0"/>
          <w:numId w:val="2"/>
        </w:numPr>
        <w:spacing w:after="80" w:before="0"/>
      </w:pPr>
      <w:r>
        <w:rPr>
          <w:rFonts w:ascii="Arial" w:cs="Arial" w:eastAsia="Arial" w:hAnsi="Arial"/>
          <w:b/>
          <w:bCs/>
          <w:color w:val="1B3A5C"/>
          <w:sz w:val="22"/>
          <w:szCs w:val="22"/>
        </w:rPr>
        <w:t xml:space="preserve">Baseline Credibility Scorecard - </w:t>
      </w:r>
      <w:r>
        <w:rPr>
          <w:rFonts w:ascii="Arial" w:cs="Arial" w:eastAsia="Arial" w:hAnsi="Arial"/>
          <w:color w:val="1A1A1A"/>
          <w:sz w:val="22"/>
          <w:szCs w:val="22"/>
        </w:rPr>
        <w:t xml:space="preserve">A self-assessment tool designed to help you evaluate current habits related to composure, communication, listening, protocol awareness, follow-through, and digital discretion.</w:t>
      </w:r>
    </w:p>
    <w:p>
      <w:pPr>
        <w:pStyle w:val="ListParagraph"/>
        <w:numPr>
          <w:ilvl w:val="0"/>
          <w:numId w:val="2"/>
        </w:numPr>
        <w:spacing w:after="80" w:before="0"/>
      </w:pPr>
      <w:r>
        <w:rPr>
          <w:rFonts w:ascii="Arial" w:cs="Arial" w:eastAsia="Arial" w:hAnsi="Arial"/>
          <w:b/>
          <w:bCs/>
          <w:color w:val="1B3A5C"/>
          <w:sz w:val="22"/>
          <w:szCs w:val="22"/>
        </w:rPr>
        <w:t xml:space="preserve">STOP / START / STRENGTHEN Exercise - </w:t>
      </w:r>
      <w:r>
        <w:rPr>
          <w:rFonts w:ascii="Arial" w:cs="Arial" w:eastAsia="Arial" w:hAnsi="Arial"/>
          <w:color w:val="1A1A1A"/>
          <w:sz w:val="22"/>
          <w:szCs w:val="22"/>
        </w:rPr>
        <w:t xml:space="preserve">A focused reflection activity that asks you to make three deliberate behavioral decisions: one habit to eliminate, one to introduce, and one to reinforce.</w:t>
      </w:r>
    </w:p>
    <w:p>
      <w:pPr>
        <w:pStyle w:val="ListParagraph"/>
        <w:numPr>
          <w:ilvl w:val="0"/>
          <w:numId w:val="2"/>
        </w:numPr>
        <w:spacing w:after="80" w:before="0"/>
      </w:pPr>
      <w:r>
        <w:rPr>
          <w:rFonts w:ascii="Arial" w:cs="Arial" w:eastAsia="Arial" w:hAnsi="Arial"/>
          <w:b/>
          <w:bCs/>
          <w:color w:val="1B3A5C"/>
          <w:sz w:val="22"/>
          <w:szCs w:val="22"/>
        </w:rPr>
        <w:t xml:space="preserve">14-Day Professional Habit Tracker - </w:t>
      </w:r>
      <w:r>
        <w:rPr>
          <w:rFonts w:ascii="Arial" w:cs="Arial" w:eastAsia="Arial" w:hAnsi="Arial"/>
          <w:color w:val="1A1A1A"/>
          <w:sz w:val="22"/>
          <w:szCs w:val="22"/>
        </w:rPr>
        <w:t xml:space="preserve">A short, practical tracking tool to support behavior alignment through repetition and awareness. Professional credibility is cumulative; this tracker helps make improvement measurable.</w:t>
      </w:r>
    </w:p>
    <w:p>
      <w:pPr>
        <w:spacing w:after="80" w:before="0"/>
      </w:pPr>
    </w:p>
    <w:p>
      <w:pPr>
        <w:spacing w:after="80" w:before="80"/>
      </w:pPr>
      <w:r>
        <w:rPr>
          <w:rFonts w:ascii="Arial" w:cs="Arial" w:eastAsia="Arial" w:hAnsi="Arial"/>
          <w:b/>
          <w:bCs/>
          <w:color w:val="1B3A5C"/>
          <w:sz w:val="24"/>
          <w:szCs w:val="24"/>
        </w:rPr>
        <w:t xml:space="preserve">How to Use These Tools</w:t>
      </w:r>
    </w:p>
    <w:p>
      <w:pPr>
        <w:spacing w:after="140" w:before="0" w:line="300" w:lineRule="auto"/>
        <w:jc w:val="both"/>
      </w:pPr>
      <w:r>
        <w:rPr>
          <w:rFonts w:ascii="Arial" w:cs="Arial" w:eastAsia="Arial" w:hAnsi="Arial"/>
          <w:color w:val="1A1A1A"/>
          <w:sz w:val="22"/>
          <w:szCs w:val="22"/>
        </w:rPr>
        <w:t xml:space="preserve">These tools are most effective when used honestly and deliberately. Complete each activity based on how you typically operate - not how you perform on your best day. Professional growth begins with alignment, and alignment requires clarity.</w:t>
      </w:r>
    </w:p>
    <w:p>
      <w:pPr>
        <w:pBdr>
          <w:bottom w:val="single" w:color="D4B483" w:sz="6" w:space="1"/>
        </w:pBdr>
        <w:spacing w:after="160" w:before="160"/>
      </w:pPr>
    </w:p>
    <w:p>
      <w:pPr>
        <w:spacing w:after="160" w:before="0"/>
      </w:pPr>
    </w:p>
    <w:p>
      <w:pPr>
        <w:spacing w:after="80" w:before="320"/>
      </w:pPr>
      <w:r>
        <w:rPr>
          <w:rFonts w:ascii="Arial" w:cs="Arial" w:eastAsia="Arial" w:hAnsi="Arial"/>
          <w:b/>
          <w:bCs/>
          <w:color w:val="B8960C"/>
          <w:sz w:val="26"/>
          <w:szCs w:val="26"/>
        </w:rPr>
        <w:t xml:space="preserve">Activity 1: </w:t>
      </w:r>
      <w:r>
        <w:rPr>
          <w:rFonts w:ascii="Arial" w:cs="Arial" w:eastAsia="Arial" w:hAnsi="Arial"/>
          <w:b/>
          <w:bCs/>
          <w:color w:val="1B3A5C"/>
          <w:sz w:val="26"/>
          <w:szCs w:val="26"/>
        </w:rPr>
        <w:t xml:space="preserve">Professional Standards Checklist</w:t>
      </w:r>
    </w:p>
    <w:p>
      <w:pPr>
        <w:spacing w:after="120" w:before="0" w:line="300"/>
        <w:jc w:val="both"/>
      </w:pPr>
      <w:r>
        <w:rPr>
          <w:rFonts w:ascii="Arial" w:cs="Arial" w:eastAsia="Arial" w:hAnsi="Arial"/>
          <w:b/>
          <w:bCs/>
          <w:color w:val="1B3A5C"/>
          <w:sz w:val="22"/>
          <w:szCs w:val="22"/>
        </w:rPr>
        <w:t xml:space="preserve">Directions: </w:t>
      </w:r>
      <w:r>
        <w:rPr>
          <w:rFonts w:ascii="Arial" w:cs="Arial" w:eastAsia="Arial" w:hAnsi="Arial"/>
          <w:color w:val="1A1A1A"/>
          <w:sz w:val="22"/>
          <w:szCs w:val="22"/>
        </w:rPr>
        <w:t xml:space="preserve">Review each professional standard listed below and rate yourself based on consistent, observable behavior across typical professional settings. Use a scale of 1 to 5, where 1 reflects inconsistent demonstration and 5 reflects consistent demonstration. Complete this assessment independently. Avoid rating based on isolated best-case scenarios. The objective is to identify patterns, not exceptions.</w:t>
      </w:r>
    </w:p>
    <w:p>
      <w:pPr>
        <w:spacing w:after="80" w:before="0"/>
      </w:pPr>
    </w:p>
    <w:tbl>
      <w:tblPr>
        <w:tblW w:type="dxa" w:w="8100"/>
        <w:tblBorders>
          <w:top w:val="single" w:color="auto" w:sz="4"/>
          <w:left w:val="single" w:color="auto" w:sz="4"/>
          <w:bottom w:val="single" w:color="auto" w:sz="4"/>
          <w:right w:val="single" w:color="auto" w:sz="4"/>
          <w:insideH w:val="single" w:color="auto" w:sz="4"/>
          <w:insideV w:val="single" w:color="auto" w:sz="4"/>
        </w:tblBorders>
      </w:tblPr>
      <w:tblGrid>
        <w:gridCol w:w="3600"/>
        <w:gridCol w:w="900"/>
        <w:gridCol w:w="900"/>
        <w:gridCol w:w="900"/>
        <w:gridCol w:w="900"/>
        <w:gridCol w:w="900"/>
      </w:tblGrid>
      <w:tr>
        <w:trPr>
          <w:tblHeader/>
        </w:trPr>
        <w:tc>
          <w:tcPr>
            <w:tcW w:type="dxa" w:w="36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left"/>
            </w:pPr>
            <w:r>
              <w:rPr>
                <w:rFonts w:ascii="Arial" w:cs="Arial" w:eastAsia="Arial" w:hAnsi="Arial"/>
                <w:b/>
                <w:bCs/>
                <w:color w:val="FFFFFF"/>
                <w:sz w:val="20"/>
                <w:szCs w:val="20"/>
              </w:rPr>
              <w:t xml:space="preserve"/>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1</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2</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3</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4</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5</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Courtesy</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7F7F7" w:val="clear"/>
            <w:tcMar>
              <w:top w:type="dxa" w:w="100"/>
              <w:left w:type="dxa" w:w="120"/>
              <w:bottom w:type="dxa" w:w="100"/>
              <w:right w:type="dxa" w:w="120"/>
            </w:tcMar>
          </w:tcPr>
          <w:p>
            <w:r>
              <w:rPr>
                <w:rFonts w:ascii="Arial" w:cs="Arial" w:eastAsia="Arial" w:hAnsi="Arial"/>
                <w:color w:val="1A1A1A"/>
                <w:sz w:val="22"/>
                <w:szCs w:val="22"/>
              </w:rPr>
              <w:t xml:space="preserve">Respect</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Discretion</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7F7F7" w:val="clear"/>
            <w:tcMar>
              <w:top w:type="dxa" w:w="100"/>
              <w:left w:type="dxa" w:w="120"/>
              <w:bottom w:type="dxa" w:w="100"/>
              <w:right w:type="dxa" w:w="120"/>
            </w:tcMar>
          </w:tcPr>
          <w:p>
            <w:r>
              <w:rPr>
                <w:rFonts w:ascii="Arial" w:cs="Arial" w:eastAsia="Arial" w:hAnsi="Arial"/>
                <w:color w:val="1A1A1A"/>
                <w:sz w:val="22"/>
                <w:szCs w:val="22"/>
              </w:rPr>
              <w:t xml:space="preserve">Sound Judgment</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Consistency</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bl>
    <w:p>
      <w:pPr>
        <w:spacing w:after="160" w:before="0"/>
      </w:pPr>
    </w:p>
    <w:p>
      <w:pPr>
        <w:spacing w:after="160" w:before="0"/>
      </w:pPr>
    </w:p>
    <w:p>
      <w:pPr>
        <w:spacing w:after="80" w:before="320"/>
      </w:pPr>
      <w:r>
        <w:rPr>
          <w:rFonts w:ascii="Arial" w:cs="Arial" w:eastAsia="Arial" w:hAnsi="Arial"/>
          <w:b/>
          <w:bCs/>
          <w:color w:val="B8960C"/>
          <w:sz w:val="26"/>
          <w:szCs w:val="26"/>
        </w:rPr>
        <w:t xml:space="preserve">Activity 2: </w:t>
      </w:r>
      <w:r>
        <w:rPr>
          <w:rFonts w:ascii="Arial" w:cs="Arial" w:eastAsia="Arial" w:hAnsi="Arial"/>
          <w:b/>
          <w:bCs/>
          <w:color w:val="1B3A5C"/>
          <w:sz w:val="26"/>
          <w:szCs w:val="26"/>
        </w:rPr>
        <w:t xml:space="preserve">Baseline Credibility Scorecard</w:t>
      </w:r>
    </w:p>
    <w:p>
      <w:pPr>
        <w:spacing w:after="120" w:before="0" w:line="300"/>
        <w:jc w:val="both"/>
      </w:pPr>
      <w:r>
        <w:rPr>
          <w:rFonts w:ascii="Arial" w:cs="Arial" w:eastAsia="Arial" w:hAnsi="Arial"/>
          <w:b/>
          <w:bCs/>
          <w:color w:val="1B3A5C"/>
          <w:sz w:val="22"/>
          <w:szCs w:val="22"/>
        </w:rPr>
        <w:t xml:space="preserve">Directions: </w:t>
      </w:r>
      <w:r>
        <w:rPr>
          <w:rFonts w:ascii="Arial" w:cs="Arial" w:eastAsia="Arial" w:hAnsi="Arial"/>
          <w:color w:val="1A1A1A"/>
          <w:sz w:val="22"/>
          <w:szCs w:val="22"/>
        </w:rPr>
        <w:t xml:space="preserve">Evaluate your current professional habits across each behavior area using the 1–5 scale provided. Consider how you typically operate under normal conditions as well as during moments of pressure, uncertainty, or fatigue. This scorecard is diagnostic. It is intended to help you identify strengths to leverage and behaviors that may introduce professional risk if left unexamined.</w:t>
      </w:r>
    </w:p>
    <w:p>
      <w:pPr>
        <w:spacing w:after="80" w:before="0"/>
      </w:pPr>
    </w:p>
    <w:tbl>
      <w:tblPr>
        <w:tblW w:type="dxa" w:w="8100"/>
        <w:tblBorders>
          <w:top w:val="single" w:color="auto" w:sz="4"/>
          <w:left w:val="single" w:color="auto" w:sz="4"/>
          <w:bottom w:val="single" w:color="auto" w:sz="4"/>
          <w:right w:val="single" w:color="auto" w:sz="4"/>
          <w:insideH w:val="single" w:color="auto" w:sz="4"/>
          <w:insideV w:val="single" w:color="auto" w:sz="4"/>
        </w:tblBorders>
      </w:tblPr>
      <w:tblGrid>
        <w:gridCol w:w="3600"/>
        <w:gridCol w:w="900"/>
        <w:gridCol w:w="900"/>
        <w:gridCol w:w="900"/>
        <w:gridCol w:w="900"/>
        <w:gridCol w:w="900"/>
      </w:tblGrid>
      <w:tr>
        <w:trPr>
          <w:tblHeader/>
        </w:trPr>
        <w:tc>
          <w:tcPr>
            <w:tcW w:type="dxa" w:w="36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left"/>
            </w:pPr>
            <w:r>
              <w:rPr>
                <w:rFonts w:ascii="Arial" w:cs="Arial" w:eastAsia="Arial" w:hAnsi="Arial"/>
                <w:b/>
                <w:bCs/>
                <w:color w:val="FFFFFF"/>
                <w:sz w:val="20"/>
                <w:szCs w:val="20"/>
              </w:rPr>
              <w:t xml:space="preserve"/>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1</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2</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3</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4</w:t>
            </w:r>
          </w:p>
        </w:tc>
        <w:tc>
          <w:tcPr>
            <w:tcW w:type="dxa" w:w="900"/>
            <w:tcBorders>
              <w:top w:val="single" w:color="C8B86A" w:sz="4"/>
              <w:left w:val="single" w:color="C8B86A" w:sz="4"/>
              <w:bottom w:val="single" w:color="C8B86A" w:sz="4"/>
              <w:right w:val="single" w:color="C8B86A" w:sz="4"/>
            </w:tcBorders>
            <w:shd w:fill="2A4A6B" w:val="clear"/>
            <w:tcMar>
              <w:top w:type="dxa" w:w="80"/>
              <w:left w:type="dxa" w:w="120"/>
              <w:bottom w:type="dxa" w:w="80"/>
              <w:right w:type="dxa" w:w="120"/>
            </w:tcMar>
            <w:vAlign w:val="center"/>
          </w:tcPr>
          <w:p>
            <w:pPr>
              <w:jc w:val="center"/>
            </w:pPr>
            <w:r>
              <w:rPr>
                <w:rFonts w:ascii="Arial" w:cs="Arial" w:eastAsia="Arial" w:hAnsi="Arial"/>
                <w:b/>
                <w:bCs/>
                <w:color w:val="FFFFFF"/>
                <w:sz w:val="20"/>
                <w:szCs w:val="20"/>
              </w:rPr>
              <w:t xml:space="preserve">5</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Composure under pressure</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7F7F7" w:val="clear"/>
            <w:tcMar>
              <w:top w:type="dxa" w:w="100"/>
              <w:left w:type="dxa" w:w="120"/>
              <w:bottom w:type="dxa" w:w="100"/>
              <w:right w:type="dxa" w:w="120"/>
            </w:tcMar>
          </w:tcPr>
          <w:p>
            <w:r>
              <w:rPr>
                <w:rFonts w:ascii="Arial" w:cs="Arial" w:eastAsia="Arial" w:hAnsi="Arial"/>
                <w:color w:val="1A1A1A"/>
                <w:sz w:val="22"/>
                <w:szCs w:val="22"/>
              </w:rPr>
              <w:t xml:space="preserve">Clarity of communication</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Listening discipline</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7F7F7" w:val="clear"/>
            <w:tcMar>
              <w:top w:type="dxa" w:w="100"/>
              <w:left w:type="dxa" w:w="120"/>
              <w:bottom w:type="dxa" w:w="100"/>
              <w:right w:type="dxa" w:w="120"/>
            </w:tcMar>
          </w:tcPr>
          <w:p>
            <w:r>
              <w:rPr>
                <w:rFonts w:ascii="Arial" w:cs="Arial" w:eastAsia="Arial" w:hAnsi="Arial"/>
                <w:color w:val="1A1A1A"/>
                <w:sz w:val="22"/>
                <w:szCs w:val="22"/>
              </w:rPr>
              <w:t xml:space="preserve">Protocol awareness</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FFFFF" w:val="clear"/>
            <w:tcMar>
              <w:top w:type="dxa" w:w="100"/>
              <w:left w:type="dxa" w:w="120"/>
              <w:bottom w:type="dxa" w:w="100"/>
              <w:right w:type="dxa" w:w="120"/>
            </w:tcMar>
          </w:tcPr>
          <w:p>
            <w:r>
              <w:rPr>
                <w:rFonts w:ascii="Arial" w:cs="Arial" w:eastAsia="Arial" w:hAnsi="Arial"/>
                <w:color w:val="1A1A1A"/>
                <w:sz w:val="22"/>
                <w:szCs w:val="22"/>
              </w:rPr>
              <w:t xml:space="preserve">Follow-through</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FFFFF" w:val="clear"/>
            <w:tcMar>
              <w:top w:type="dxa" w:w="100"/>
              <w:left w:type="dxa" w:w="80"/>
              <w:bottom w:type="dxa" w:w="100"/>
              <w:right w:type="dxa" w:w="80"/>
            </w:tcMar>
          </w:tcPr>
          <w:p>
            <w:pPr>
              <w:jc w:val="center"/>
            </w:pPr>
            <w:r>
              <w:rPr>
                <w:rFonts w:ascii="Arial" w:cs="Arial" w:eastAsia="Arial" w:hAnsi="Arial"/>
                <w:sz w:val="22"/>
                <w:szCs w:val="22"/>
              </w:rPr>
              <w:t xml:space="preserve"> </w:t>
            </w:r>
          </w:p>
        </w:tc>
      </w:tr>
      <w:tr>
        <w:tc>
          <w:tcPr>
            <w:tcW w:type="dxa" w:w="3600"/>
            <w:tcBorders>
              <w:top w:val="single" w:color="C8B86A" w:sz="4"/>
              <w:left w:val="single" w:color="C8B86A" w:sz="4"/>
              <w:bottom w:val="single" w:color="C8B86A" w:sz="4"/>
              <w:right w:val="single" w:color="C8B86A" w:sz="4"/>
            </w:tcBorders>
            <w:shd w:fill="F7F7F7" w:val="clear"/>
            <w:tcMar>
              <w:top w:type="dxa" w:w="100"/>
              <w:left w:type="dxa" w:w="120"/>
              <w:bottom w:type="dxa" w:w="100"/>
              <w:right w:type="dxa" w:w="120"/>
            </w:tcMar>
          </w:tcPr>
          <w:p>
            <w:r>
              <w:rPr>
                <w:rFonts w:ascii="Arial" w:cs="Arial" w:eastAsia="Arial" w:hAnsi="Arial"/>
                <w:color w:val="1A1A1A"/>
                <w:sz w:val="22"/>
                <w:szCs w:val="22"/>
              </w:rPr>
              <w:t xml:space="preserve">Digital discretion</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c>
          <w:tcPr>
            <w:tcW w:type="dxa" w:w="900"/>
            <w:tcBorders>
              <w:top w:val="single" w:color="C8B86A" w:sz="4"/>
              <w:left w:val="single" w:color="C8B86A" w:sz="4"/>
              <w:bottom w:val="single" w:color="C8B86A" w:sz="4"/>
              <w:right w:val="single" w:color="C8B86A" w:sz="4"/>
            </w:tcBorders>
            <w:shd w:fill="F7F7F7" w:val="clear"/>
            <w:tcMar>
              <w:top w:type="dxa" w:w="100"/>
              <w:left w:type="dxa" w:w="80"/>
              <w:bottom w:type="dxa" w:w="100"/>
              <w:right w:type="dxa" w:w="80"/>
            </w:tcMar>
          </w:tcPr>
          <w:p>
            <w:pPr>
              <w:jc w:val="center"/>
            </w:pPr>
            <w:r>
              <w:rPr>
                <w:rFonts w:ascii="Arial" w:cs="Arial" w:eastAsia="Arial" w:hAnsi="Arial"/>
                <w:sz w:val="22"/>
                <w:szCs w:val="22"/>
              </w:rPr>
              <w:t xml:space="preserve"> </w:t>
            </w:r>
          </w:p>
        </w:tc>
      </w:tr>
    </w:tbl>
    <w:p>
      <w:pPr>
        <w:spacing w:after="160" w:before="0"/>
      </w:pPr>
    </w:p>
    <w:p>
      <w:pPr>
        <w:spacing w:after="160" w:before="0"/>
      </w:pPr>
    </w:p>
    <w:p>
      <w:pPr>
        <w:spacing w:after="80" w:before="320"/>
      </w:pPr>
      <w:r>
        <w:rPr>
          <w:rFonts w:ascii="Arial" w:cs="Arial" w:eastAsia="Arial" w:hAnsi="Arial"/>
          <w:b/>
          <w:bCs/>
          <w:color w:val="B8960C"/>
          <w:sz w:val="26"/>
          <w:szCs w:val="26"/>
        </w:rPr>
        <w:t xml:space="preserve">Activity 3: </w:t>
      </w:r>
      <w:r>
        <w:rPr>
          <w:rFonts w:ascii="Arial" w:cs="Arial" w:eastAsia="Arial" w:hAnsi="Arial"/>
          <w:b/>
          <w:bCs/>
          <w:color w:val="1B3A5C"/>
          <w:sz w:val="26"/>
          <w:szCs w:val="26"/>
        </w:rPr>
        <w:t xml:space="preserve">STOP / START / STRENGTHEN Exercise</w:t>
      </w:r>
    </w:p>
    <w:p>
      <w:pPr>
        <w:spacing w:after="120" w:before="0" w:line="300"/>
        <w:jc w:val="both"/>
      </w:pPr>
      <w:r>
        <w:rPr>
          <w:rFonts w:ascii="Arial" w:cs="Arial" w:eastAsia="Arial" w:hAnsi="Arial"/>
          <w:b/>
          <w:bCs/>
          <w:color w:val="1B3A5C"/>
          <w:sz w:val="22"/>
          <w:szCs w:val="22"/>
        </w:rPr>
        <w:t xml:space="preserve">Directions: </w:t>
      </w:r>
      <w:r>
        <w:rPr>
          <w:rFonts w:ascii="Arial" w:cs="Arial" w:eastAsia="Arial" w:hAnsi="Arial"/>
          <w:color w:val="1A1A1A"/>
          <w:sz w:val="22"/>
          <w:szCs w:val="22"/>
        </w:rPr>
        <w:t xml:space="preserve">Based on your checklist and scorecard results, identify three specific behavioral decisions. Your selections should be observable, specific, and practical. Avoid vague or aspirational statements. Choose behaviors that can be clearly seen and measured in daily professional interactions.</w:t>
      </w:r>
    </w:p>
    <w:p>
      <w:pPr>
        <w:spacing w:after="8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8B86A" w:sz="4"/>
              <w:left w:val="single" w:color="C8B86A" w:sz="4"/>
              <w:bottom w:val="single" w:color="C8B86A" w:sz="4"/>
              <w:right w:val="single" w:color="C8B86A" w:sz="4"/>
            </w:tcBorders>
            <w:shd w:fill="2A4A6B" w:val="clear"/>
            <w:tcMar>
              <w:top w:type="dxa" w:w="120"/>
              <w:left w:type="dxa" w:w="120"/>
              <w:bottom w:type="dxa" w:w="120"/>
              <w:right w:type="dxa" w:w="120"/>
            </w:tcMar>
            <w:vAlign w:val="center"/>
          </w:tcPr>
          <w:p>
            <w:pPr>
              <w:jc w:val="center"/>
            </w:pPr>
            <w:r>
              <w:rPr>
                <w:rFonts w:ascii="Arial" w:cs="Arial" w:eastAsia="Arial" w:hAnsi="Arial"/>
                <w:b/>
                <w:bCs/>
                <w:color w:val="B8960C"/>
                <w:sz w:val="22"/>
                <w:szCs w:val="22"/>
              </w:rPr>
              <w:t xml:space="preserve">STOP</w:t>
            </w:r>
          </w:p>
          <w:p>
            <w:pPr>
              <w:jc w:val="center"/>
            </w:pPr>
            <w:r>
              <w:rPr>
                <w:rFonts w:ascii="Arial" w:cs="Arial" w:eastAsia="Arial" w:hAnsi="Arial"/>
                <w:i/>
                <w:iCs/>
                <w:color w:val="AAAAAA"/>
                <w:sz w:val="18"/>
                <w:szCs w:val="18"/>
              </w:rPr>
              <w:t xml:space="preserve">Behavior to eliminate</w:t>
            </w:r>
          </w:p>
        </w:tc>
        <w:tc>
          <w:tcPr>
            <w:tcW w:type="dxa" w:w="7560"/>
            <w:tcBorders>
              <w:top w:val="single" w:color="C8B86A" w:sz="4"/>
              <w:left w:val="single" w:color="C8B86A" w:sz="4"/>
              <w:bottom w:val="single" w:color="C8B86A" w:sz="4"/>
              <w:right w:val="single" w:color="C8B86A" w:sz="4"/>
            </w:tcBorders>
            <w:shd w:fill="FFFFFF" w:val="clear"/>
            <w:tcMar>
              <w:top w:type="dxa" w:w="200"/>
              <w:left w:type="dxa" w:w="160"/>
              <w:bottom w:type="dxa" w:w="200"/>
              <w:right w:type="dxa" w:w="160"/>
            </w:tcMar>
          </w:tcPr>
          <w:p>
            <w:r>
              <w:rPr>
                <w:rFonts w:ascii="Arial" w:cs="Arial" w:eastAsia="Arial" w:hAnsi="Arial"/>
                <w:sz w:val="22"/>
                <w:szCs w:val="22"/>
              </w:rPr>
              <w:t xml:space="preserve"> </w:t>
            </w:r>
          </w:p>
        </w:tc>
      </w:tr>
      <w:tr>
        <w:tc>
          <w:tcPr>
            <w:tcW w:type="dxa" w:w="1800"/>
            <w:tcBorders>
              <w:top w:val="single" w:color="C8B86A" w:sz="4"/>
              <w:left w:val="single" w:color="C8B86A" w:sz="4"/>
              <w:bottom w:val="single" w:color="C8B86A" w:sz="4"/>
              <w:right w:val="single" w:color="C8B86A" w:sz="4"/>
            </w:tcBorders>
            <w:shd w:fill="2A4A6B" w:val="clear"/>
            <w:tcMar>
              <w:top w:type="dxa" w:w="120"/>
              <w:left w:type="dxa" w:w="120"/>
              <w:bottom w:type="dxa" w:w="120"/>
              <w:right w:type="dxa" w:w="120"/>
            </w:tcMar>
            <w:vAlign w:val="center"/>
          </w:tcPr>
          <w:p>
            <w:pPr>
              <w:jc w:val="center"/>
            </w:pPr>
            <w:r>
              <w:rPr>
                <w:rFonts w:ascii="Arial" w:cs="Arial" w:eastAsia="Arial" w:hAnsi="Arial"/>
                <w:b/>
                <w:bCs/>
                <w:color w:val="B8960C"/>
                <w:sz w:val="22"/>
                <w:szCs w:val="22"/>
              </w:rPr>
              <w:t xml:space="preserve">START</w:t>
            </w:r>
          </w:p>
          <w:p>
            <w:pPr>
              <w:jc w:val="center"/>
            </w:pPr>
            <w:r>
              <w:rPr>
                <w:rFonts w:ascii="Arial" w:cs="Arial" w:eastAsia="Arial" w:hAnsi="Arial"/>
                <w:i/>
                <w:iCs/>
                <w:color w:val="AAAAAA"/>
                <w:sz w:val="18"/>
                <w:szCs w:val="18"/>
              </w:rPr>
              <w:t xml:space="preserve">Behavior to introduce</w:t>
            </w:r>
          </w:p>
        </w:tc>
        <w:tc>
          <w:tcPr>
            <w:tcW w:type="dxa" w:w="7560"/>
            <w:tcBorders>
              <w:top w:val="single" w:color="C8B86A" w:sz="4"/>
              <w:left w:val="single" w:color="C8B86A" w:sz="4"/>
              <w:bottom w:val="single" w:color="C8B86A" w:sz="4"/>
              <w:right w:val="single" w:color="C8B86A" w:sz="4"/>
            </w:tcBorders>
            <w:shd w:fill="FFFFFF" w:val="clear"/>
            <w:tcMar>
              <w:top w:type="dxa" w:w="200"/>
              <w:left w:type="dxa" w:w="160"/>
              <w:bottom w:type="dxa" w:w="200"/>
              <w:right w:type="dxa" w:w="160"/>
            </w:tcMar>
          </w:tcPr>
          <w:p>
            <w:r>
              <w:rPr>
                <w:rFonts w:ascii="Arial" w:cs="Arial" w:eastAsia="Arial" w:hAnsi="Arial"/>
                <w:sz w:val="22"/>
                <w:szCs w:val="22"/>
              </w:rPr>
              <w:t xml:space="preserve"> </w:t>
            </w:r>
          </w:p>
        </w:tc>
      </w:tr>
      <w:tr>
        <w:tc>
          <w:tcPr>
            <w:tcW w:type="dxa" w:w="1800"/>
            <w:tcBorders>
              <w:top w:val="single" w:color="C8B86A" w:sz="4"/>
              <w:left w:val="single" w:color="C8B86A" w:sz="4"/>
              <w:bottom w:val="single" w:color="C8B86A" w:sz="4"/>
              <w:right w:val="single" w:color="C8B86A" w:sz="4"/>
            </w:tcBorders>
            <w:shd w:fill="2A4A6B" w:val="clear"/>
            <w:tcMar>
              <w:top w:type="dxa" w:w="120"/>
              <w:left w:type="dxa" w:w="120"/>
              <w:bottom w:type="dxa" w:w="120"/>
              <w:right w:type="dxa" w:w="120"/>
            </w:tcMar>
            <w:vAlign w:val="center"/>
          </w:tcPr>
          <w:p>
            <w:pPr>
              <w:jc w:val="center"/>
            </w:pPr>
            <w:r>
              <w:rPr>
                <w:rFonts w:ascii="Arial" w:cs="Arial" w:eastAsia="Arial" w:hAnsi="Arial"/>
                <w:b/>
                <w:bCs/>
                <w:color w:val="B8960C"/>
                <w:sz w:val="22"/>
                <w:szCs w:val="22"/>
              </w:rPr>
              <w:t xml:space="preserve">STRENGTHEN</w:t>
            </w:r>
          </w:p>
          <w:p>
            <w:pPr>
              <w:jc w:val="center"/>
            </w:pPr>
            <w:r>
              <w:rPr>
                <w:rFonts w:ascii="Arial" w:cs="Arial" w:eastAsia="Arial" w:hAnsi="Arial"/>
                <w:i/>
                <w:iCs/>
                <w:color w:val="AAAAAA"/>
                <w:sz w:val="18"/>
                <w:szCs w:val="18"/>
              </w:rPr>
              <w:t xml:space="preserve">Behavior to reinforce</w:t>
            </w:r>
          </w:p>
        </w:tc>
        <w:tc>
          <w:tcPr>
            <w:tcW w:type="dxa" w:w="7560"/>
            <w:tcBorders>
              <w:top w:val="single" w:color="C8B86A" w:sz="4"/>
              <w:left w:val="single" w:color="C8B86A" w:sz="4"/>
              <w:bottom w:val="single" w:color="C8B86A" w:sz="4"/>
              <w:right w:val="single" w:color="C8B86A" w:sz="4"/>
            </w:tcBorders>
            <w:shd w:fill="FFFFFF" w:val="clear"/>
            <w:tcMar>
              <w:top w:type="dxa" w:w="200"/>
              <w:left w:type="dxa" w:w="160"/>
              <w:bottom w:type="dxa" w:w="200"/>
              <w:right w:type="dxa" w:w="160"/>
            </w:tcMar>
          </w:tcPr>
          <w:p>
            <w:r>
              <w:rPr>
                <w:rFonts w:ascii="Arial" w:cs="Arial" w:eastAsia="Arial" w:hAnsi="Arial"/>
                <w:sz w:val="22"/>
                <w:szCs w:val="22"/>
              </w:rPr>
              <w:t xml:space="preserve"> </w:t>
            </w:r>
          </w:p>
        </w:tc>
      </w:tr>
    </w:tbl>
    <w:p>
      <w:pPr>
        <w:spacing w:after="160" w:before="0"/>
      </w:pPr>
    </w:p>
    <w:p>
      <w:pPr>
        <w:spacing w:after="160" w:before="0"/>
      </w:pPr>
    </w:p>
    <w:p>
      <w:pPr>
        <w:spacing w:after="80" w:before="320"/>
      </w:pPr>
      <w:r>
        <w:rPr>
          <w:rFonts w:ascii="Arial" w:cs="Arial" w:eastAsia="Arial" w:hAnsi="Arial"/>
          <w:b/>
          <w:bCs/>
          <w:color w:val="B8960C"/>
          <w:sz w:val="26"/>
          <w:szCs w:val="26"/>
        </w:rPr>
        <w:t xml:space="preserve">Activity 4: </w:t>
      </w:r>
      <w:r>
        <w:rPr>
          <w:rFonts w:ascii="Arial" w:cs="Arial" w:eastAsia="Arial" w:hAnsi="Arial"/>
          <w:b/>
          <w:bCs/>
          <w:color w:val="1B3A5C"/>
          <w:sz w:val="26"/>
          <w:szCs w:val="26"/>
        </w:rPr>
        <w:t xml:space="preserve">14-Day Professional Habit Tracker</w:t>
      </w:r>
    </w:p>
    <w:p>
      <w:pPr>
        <w:spacing w:after="120" w:before="0" w:line="300"/>
        <w:jc w:val="both"/>
      </w:pPr>
      <w:r>
        <w:rPr>
          <w:rFonts w:ascii="Arial" w:cs="Arial" w:eastAsia="Arial" w:hAnsi="Arial"/>
          <w:b/>
          <w:bCs/>
          <w:color w:val="1B3A5C"/>
          <w:sz w:val="22"/>
          <w:szCs w:val="22"/>
        </w:rPr>
        <w:t xml:space="preserve">Directions: </w:t>
      </w:r>
      <w:r>
        <w:rPr>
          <w:rFonts w:ascii="Arial" w:cs="Arial" w:eastAsia="Arial" w:hAnsi="Arial"/>
          <w:color w:val="1A1A1A"/>
          <w:sz w:val="22"/>
          <w:szCs w:val="22"/>
        </w:rPr>
        <w:t xml:space="preserve">Select one behavior from your STOP / START / STRENGTHEN exercise to focus on over the next 14 days. Each day, briefly record the behavior you practiced, the context in which it occurred, the outcome or response, and any adjustment you would make in the future. Small, deliberate changes practiced consistently have the greatest impact on professional credibility.</w:t>
      </w:r>
    </w:p>
    <w:p>
      <w:pPr>
        <w:spacing w:after="8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160"/>
        <w:gridCol w:w="2160"/>
        <w:gridCol w:w="2160"/>
        <w:gridCol w:w="2160"/>
      </w:tblGrid>
      <w:tr>
        <w:trPr>
          <w:tblHeader/>
        </w:trPr>
        <w:tc>
          <w:tcPr>
            <w:tcW w:type="dxa" w:w="720"/>
            <w:tcBorders>
              <w:top w:val="single" w:color="C8B86A" w:sz="4"/>
              <w:left w:val="single" w:color="C8B86A" w:sz="4"/>
              <w:bottom w:val="single" w:color="C8B86A" w:sz="4"/>
              <w:right w:val="single" w:color="C8B86A" w:sz="4"/>
            </w:tcBorders>
            <w:shd w:fill="2A4A6B" w:val="clear"/>
            <w:tcMar>
              <w:top w:type="dxa" w:w="60"/>
              <w:left w:type="dxa" w:w="80"/>
              <w:bottom w:type="dxa" w:w="60"/>
              <w:right w:type="dxa" w:w="80"/>
            </w:tcMar>
          </w:tcPr>
          <w:p>
            <w:pPr>
              <w:jc w:val="center"/>
            </w:pPr>
            <w:r>
              <w:rPr>
                <w:rFonts w:ascii="Arial" w:cs="Arial" w:eastAsia="Arial" w:hAnsi="Arial"/>
                <w:b/>
                <w:bCs/>
                <w:color w:val="FFFFFF"/>
                <w:sz w:val="18"/>
                <w:szCs w:val="18"/>
              </w:rPr>
              <w:t xml:space="preserve">Day</w:t>
            </w:r>
          </w:p>
        </w:tc>
        <w:tc>
          <w:tcPr>
            <w:tcW w:type="dxa" w:w="2160"/>
            <w:tcBorders>
              <w:top w:val="single" w:color="C8B86A" w:sz="4"/>
              <w:left w:val="single" w:color="C8B86A" w:sz="4"/>
              <w:bottom w:val="single" w:color="C8B86A" w:sz="4"/>
              <w:right w:val="single" w:color="C8B86A" w:sz="4"/>
            </w:tcBorders>
            <w:shd w:fill="2A4A6B" w:val="clear"/>
            <w:tcMar>
              <w:top w:type="dxa" w:w="60"/>
              <w:left w:type="dxa" w:w="80"/>
              <w:bottom w:type="dxa" w:w="60"/>
              <w:right w:type="dxa" w:w="80"/>
            </w:tcMar>
          </w:tcPr>
          <w:p>
            <w:pPr>
              <w:jc w:val="center"/>
            </w:pPr>
            <w:r>
              <w:rPr>
                <w:rFonts w:ascii="Arial" w:cs="Arial" w:eastAsia="Arial" w:hAnsi="Arial"/>
                <w:b/>
                <w:bCs/>
                <w:color w:val="FFFFFF"/>
                <w:sz w:val="18"/>
                <w:szCs w:val="18"/>
              </w:rPr>
              <w:t xml:space="preserve">Behavior Practiced</w:t>
            </w:r>
          </w:p>
        </w:tc>
        <w:tc>
          <w:tcPr>
            <w:tcW w:type="dxa" w:w="2160"/>
            <w:tcBorders>
              <w:top w:val="single" w:color="C8B86A" w:sz="4"/>
              <w:left w:val="single" w:color="C8B86A" w:sz="4"/>
              <w:bottom w:val="single" w:color="C8B86A" w:sz="4"/>
              <w:right w:val="single" w:color="C8B86A" w:sz="4"/>
            </w:tcBorders>
            <w:shd w:fill="2A4A6B" w:val="clear"/>
            <w:tcMar>
              <w:top w:type="dxa" w:w="60"/>
              <w:left w:type="dxa" w:w="80"/>
              <w:bottom w:type="dxa" w:w="60"/>
              <w:right w:type="dxa" w:w="80"/>
            </w:tcMar>
          </w:tcPr>
          <w:p>
            <w:pPr>
              <w:jc w:val="center"/>
            </w:pPr>
            <w:r>
              <w:rPr>
                <w:rFonts w:ascii="Arial" w:cs="Arial" w:eastAsia="Arial" w:hAnsi="Arial"/>
                <w:b/>
                <w:bCs/>
                <w:color w:val="FFFFFF"/>
                <w:sz w:val="18"/>
                <w:szCs w:val="18"/>
              </w:rPr>
              <w:t xml:space="preserve">Context</w:t>
            </w:r>
          </w:p>
        </w:tc>
        <w:tc>
          <w:tcPr>
            <w:tcW w:type="dxa" w:w="2160"/>
            <w:tcBorders>
              <w:top w:val="single" w:color="C8B86A" w:sz="4"/>
              <w:left w:val="single" w:color="C8B86A" w:sz="4"/>
              <w:bottom w:val="single" w:color="C8B86A" w:sz="4"/>
              <w:right w:val="single" w:color="C8B86A" w:sz="4"/>
            </w:tcBorders>
            <w:shd w:fill="2A4A6B" w:val="clear"/>
            <w:tcMar>
              <w:top w:type="dxa" w:w="60"/>
              <w:left w:type="dxa" w:w="80"/>
              <w:bottom w:type="dxa" w:w="60"/>
              <w:right w:type="dxa" w:w="80"/>
            </w:tcMar>
          </w:tcPr>
          <w:p>
            <w:pPr>
              <w:jc w:val="center"/>
            </w:pPr>
            <w:r>
              <w:rPr>
                <w:rFonts w:ascii="Arial" w:cs="Arial" w:eastAsia="Arial" w:hAnsi="Arial"/>
                <w:b/>
                <w:bCs/>
                <w:color w:val="FFFFFF"/>
                <w:sz w:val="18"/>
                <w:szCs w:val="18"/>
              </w:rPr>
              <w:t xml:space="preserve">Outcome</w:t>
            </w:r>
          </w:p>
        </w:tc>
        <w:tc>
          <w:tcPr>
            <w:tcW w:type="dxa" w:w="2160"/>
            <w:tcBorders>
              <w:top w:val="single" w:color="C8B86A" w:sz="4"/>
              <w:left w:val="single" w:color="C8B86A" w:sz="4"/>
              <w:bottom w:val="single" w:color="C8B86A" w:sz="4"/>
              <w:right w:val="single" w:color="C8B86A" w:sz="4"/>
            </w:tcBorders>
            <w:shd w:fill="2A4A6B" w:val="clear"/>
            <w:tcMar>
              <w:top w:type="dxa" w:w="60"/>
              <w:left w:type="dxa" w:w="80"/>
              <w:bottom w:type="dxa" w:w="60"/>
              <w:right w:type="dxa" w:w="80"/>
            </w:tcMar>
          </w:tcPr>
          <w:p>
            <w:pPr>
              <w:jc w:val="center"/>
            </w:pPr>
            <w:r>
              <w:rPr>
                <w:rFonts w:ascii="Arial" w:cs="Arial" w:eastAsia="Arial" w:hAnsi="Arial"/>
                <w:b/>
                <w:bCs/>
                <w:color w:val="FFFFFF"/>
                <w:sz w:val="18"/>
                <w:szCs w:val="18"/>
              </w:rPr>
              <w:t xml:space="preserve">Adjustment</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2</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3</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4</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5</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6</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7</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8</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9</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10</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11</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12</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5EDD6"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13</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r>
              <w:rPr>
                <w:rFonts w:ascii="Arial" w:cs="Arial" w:eastAsia="Arial" w:hAnsi="Arial"/>
                <w:sz w:val="22"/>
                <w:szCs w:val="22"/>
              </w:rPr>
              <w:t xml:space="preserve"> </w:t>
            </w:r>
          </w:p>
        </w:tc>
      </w:tr>
      <w:tr>
        <w:tc>
          <w:tcPr>
            <w:tcW w:type="dxa" w:w="720"/>
            <w:tcBorders>
              <w:top w:val="single" w:color="C8B86A" w:sz="4"/>
              <w:left w:val="single" w:color="C8B86A" w:sz="4"/>
              <w:bottom w:val="single" w:color="C8B86A" w:sz="4"/>
              <w:right w:val="single" w:color="C8B86A" w:sz="4"/>
            </w:tcBorders>
            <w:shd w:fill="FFFFFF" w:val="clear"/>
            <w:tcMar>
              <w:top w:type="dxa" w:w="80"/>
              <w:left w:type="dxa" w:w="80"/>
              <w:bottom w:type="dxa" w:w="80"/>
              <w:right w:type="dxa" w:w="80"/>
            </w:tcMar>
          </w:tcPr>
          <w:p>
            <w:pPr>
              <w:jc w:val="center"/>
            </w:pPr>
            <w:r>
              <w:rPr>
                <w:rFonts w:ascii="Arial" w:cs="Arial" w:eastAsia="Arial" w:hAnsi="Arial"/>
                <w:b/>
                <w:bCs/>
                <w:color w:val="1B3A5C"/>
                <w:sz w:val="22"/>
                <w:szCs w:val="22"/>
              </w:rPr>
              <w:t xml:space="preserve">14</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c>
          <w:tcPr>
            <w:tcW w:type="dxa" w:w="2160"/>
            <w:tcBorders>
              <w:top w:val="single" w:color="C8B86A" w:sz="4"/>
              <w:left w:val="single" w:color="C8B86A" w:sz="4"/>
              <w:bottom w:val="single" w:color="C8B86A" w:sz="4"/>
              <w:right w:val="single" w:color="C8B86A" w:sz="4"/>
            </w:tcBorders>
            <w:shd w:fill="F7F7F7" w:val="clear"/>
            <w:tcMar>
              <w:top w:type="dxa" w:w="80"/>
              <w:left w:type="dxa" w:w="80"/>
              <w:bottom w:type="dxa" w:w="80"/>
              <w:right w:type="dxa" w:w="80"/>
            </w:tcMar>
          </w:tcPr>
          <w:p>
            <w:r>
              <w:rPr>
                <w:rFonts w:ascii="Arial" w:cs="Arial" w:eastAsia="Arial" w:hAnsi="Arial"/>
                <w:sz w:val="22"/>
                <w:szCs w:val="22"/>
              </w:rPr>
              <w:t xml:space="preserve"> </w:t>
            </w:r>
          </w:p>
        </w:tc>
      </w:tr>
    </w:tbl>
    <w:sectPr>
      <w:footerReference w:type="default" r:id="rId7"/>
      <w:pgSz w:w="12240" w:h="15840" w:orient="portrait"/>
      <w:pgMar w:top="1260" w:right="1260" w:bottom="126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B483" w:sz="4" w:space="8"/>
      </w:pBdr>
      <w:spacing w:before="120"/>
      <w:jc w:val="center"/>
    </w:pPr>
    <w:r>
      <w:rPr>
        <w:rFonts w:ascii="Arial" w:cs="Arial" w:eastAsia="Arial" w:hAnsi="Arial"/>
        <w:color w:val="6B6B6B"/>
        <w:sz w:val="16"/>
        <w:szCs w:val="16"/>
      </w:rPr>
      <w:t xml:space="preserve">© 2026 C.H.A.R.M. Communications, LLC  ·  From the Introduction to the Interview™  ·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3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2026-05-28T07:54:06.136Z</dcterms:created>
  <dcterms:modified xsi:type="dcterms:W3CDTF">2026-05-28T07:54:06.147Z</dcterms:modified>
</cp:coreProperties>
</file>

<file path=docProps/custom.xml><?xml version="1.0" encoding="utf-8"?>
<Properties xmlns="http://schemas.openxmlformats.org/officeDocument/2006/custom-properties" xmlns:vt="http://schemas.openxmlformats.org/officeDocument/2006/docPropsVTypes"/>
</file>